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4311"/>
      </w:tblGrid>
      <w:tr w:rsidR="00FC5549" w:rsidRPr="00FC5549" w:rsidTr="00FC55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МІНІСТЕРСТВО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ЮСТИЦІЇ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УКРАЇНИ</w:t>
            </w:r>
            <w:proofErr w:type="spellEnd"/>
          </w:p>
        </w:tc>
      </w:tr>
      <w:tr w:rsidR="00FC5549" w:rsidRPr="00FC5549" w:rsidTr="00FC55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549">
              <w:rPr>
                <w:rFonts w:eastAsia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FC5549" w:rsidRPr="00FC5549" w:rsidTr="00FC55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ind w:left="665" w:right="66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10.02.2012  № 232/5</w:t>
            </w:r>
          </w:p>
        </w:tc>
      </w:tr>
      <w:tr w:rsidR="00FC5549" w:rsidRPr="00FC5549" w:rsidTr="00FC5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лютого</w:t>
            </w:r>
            <w:proofErr w:type="gram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2012 р.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202/20515</w:t>
            </w:r>
          </w:p>
        </w:tc>
      </w:tr>
    </w:tbl>
    <w:p w:rsidR="00FC5549" w:rsidRPr="00FC5549" w:rsidRDefault="00FC5549" w:rsidP="00FC5549">
      <w:pPr>
        <w:shd w:val="clear" w:color="auto" w:fill="FFFFFF"/>
        <w:ind w:left="665" w:right="665"/>
        <w:jc w:val="center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1" w:name="n4"/>
      <w:bookmarkEnd w:id="1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затвердження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Типового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положення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про </w:t>
      </w:r>
      <w:proofErr w:type="spellStart"/>
      <w:proofErr w:type="gram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арх</w:t>
      </w:r>
      <w:proofErr w:type="gram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івний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підрозділ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державного органу, органу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місцевого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самоврядування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, державного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і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комунального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підприємства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, установи та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організації</w:t>
      </w:r>
      <w:proofErr w:type="spellEnd"/>
    </w:p>
    <w:p w:rsidR="00FC5549" w:rsidRPr="00FC5549" w:rsidRDefault="00FC5549" w:rsidP="00FC5549">
      <w:pPr>
        <w:shd w:val="clear" w:color="auto" w:fill="FFFFFF"/>
        <w:ind w:left="665" w:right="665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" w:name="n67"/>
      <w:bookmarkEnd w:id="2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{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внесеними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згідно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Наказами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br/>
      </w:r>
      <w:hyperlink r:id="rId4" w:anchor="n6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400/5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07.03.2013</w:t>
        </w:r>
      </w:hyperlink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br/>
      </w:r>
      <w:hyperlink r:id="rId5" w:anchor="n14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692/5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25.04.2014</w:t>
        </w:r>
      </w:hyperlink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br/>
      </w:r>
      <w:hyperlink r:id="rId6" w:anchor="n2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75/5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19.01.2015</w:t>
        </w:r>
      </w:hyperlink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br/>
      </w:r>
      <w:hyperlink r:id="rId7" w:anchor="n2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309/5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03.02.2016</w:t>
        </w:r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" w:name="n68"/>
      <w:bookmarkEnd w:id="3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{У </w:t>
      </w:r>
      <w:proofErr w:type="spellStart"/>
      <w:proofErr w:type="gram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назв</w:t>
      </w:r>
      <w:proofErr w:type="gram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Наказу слова "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органи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влади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" в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усіх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відмінках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замінено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державні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органи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" у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відповідному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відмінку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8" w:anchor="n6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400/5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07.03.2013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" w:name="n5"/>
      <w:bookmarkEnd w:id="4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статті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31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9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«Про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Національний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</w:t>
        </w:r>
        <w:proofErr w:type="gram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івний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архівні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установи»</w:t>
        </w:r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,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10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утворення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діяльності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експертизи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цінності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документів</w:t>
        </w:r>
        <w:proofErr w:type="spellEnd"/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затвердженого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постановою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Кабінету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Міністрів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08.08.2007 № 1004,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proofErr w:type="spellStart"/>
      <w:r w:rsidRPr="00FC5549">
        <w:rPr>
          <w:rFonts w:eastAsia="Times New Roman" w:cs="Times New Roman"/>
          <w:b/>
          <w:bCs/>
          <w:color w:val="000000"/>
          <w:spacing w:val="44"/>
          <w:sz w:val="24"/>
          <w:szCs w:val="24"/>
          <w:lang w:eastAsia="ru-RU"/>
        </w:rPr>
        <w:t>НАКАЗУЮ</w:t>
      </w:r>
      <w:proofErr w:type="spellEnd"/>
      <w:r w:rsidRPr="00FC5549">
        <w:rPr>
          <w:rFonts w:eastAsia="Times New Roman" w:cs="Times New Roman"/>
          <w:b/>
          <w:bCs/>
          <w:color w:val="000000"/>
          <w:spacing w:val="44"/>
          <w:sz w:val="24"/>
          <w:szCs w:val="24"/>
          <w:lang w:eastAsia="ru-RU"/>
        </w:rPr>
        <w:t>: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" w:name="n6"/>
      <w:bookmarkEnd w:id="5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1.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Затвердити</w:t>
      </w:r>
      <w:proofErr w:type="spellEnd"/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11" w:anchor="n15" w:history="1"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Типове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proofErr w:type="gram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</w:t>
        </w:r>
        <w:proofErr w:type="gram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івний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підрозділ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2" w:anchor="n15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державного органу</w:t>
        </w:r>
      </w:hyperlink>
      <w:hyperlink r:id="rId13" w:anchor="n15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органу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місцевого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самоврядування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державного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підприємства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установи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організації</w:t>
        </w:r>
        <w:proofErr w:type="spellEnd"/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додається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6" w:name="n7"/>
      <w:bookmarkEnd w:id="6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2.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Центральним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галузевим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івам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Державному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Автономній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Республіці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Крим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архівам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областей,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міст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Києва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Севастополя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надавати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допомогу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органам, органам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місцевого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самоврядування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комунальним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підприємствам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установам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організаціям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розробленні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індивідуальних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положень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підрозділи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зазначені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пункті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7" w:name="n8"/>
      <w:bookmarkEnd w:id="7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3. Департаменту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взаємодії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органами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влади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Зеркаль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О.В.) подати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цей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наказ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реєстрацію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14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Указу Президента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03.10.92 № 493 «Про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державну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реєстрацію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нормативно-правових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актів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міністерств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інших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органі</w:t>
        </w:r>
        <w:proofErr w:type="gram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виконавчої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влади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).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8" w:name="n9"/>
      <w:bookmarkEnd w:id="8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4.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Визнати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таким,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втратив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чинність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,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15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 Державного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комітету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архіві</w:t>
        </w:r>
        <w:proofErr w:type="gram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06.08.2002 № 58 «Про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Типового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архівний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підрозділ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влади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органу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місцевого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самоврядування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державного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підприємства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установи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зареєстрований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Міністерстві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20.08.2002 за № 682/6970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).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9" w:name="n10"/>
      <w:bookmarkEnd w:id="9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lastRenderedPageBreak/>
        <w:t xml:space="preserve">5. Контроль за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виконанням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цього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наказу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покласти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директора Департаменту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взаємодії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органами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влади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Зеркаль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О.В.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10" w:name="n11"/>
      <w:bookmarkEnd w:id="10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6. Цей наказ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набирає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чинності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дня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його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офіційного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опублікування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7"/>
        <w:gridCol w:w="1940"/>
        <w:gridCol w:w="4311"/>
      </w:tblGrid>
      <w:tr w:rsidR="00FC5549" w:rsidRPr="00FC5549" w:rsidTr="00FC554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</w:p>
        </w:tc>
      </w:tr>
      <w:tr w:rsidR="00FC5549" w:rsidRPr="00FC5549" w:rsidTr="00FC554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spacing w:before="222" w:after="222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2" w:name="n66"/>
            <w:bookmarkEnd w:id="12"/>
            <w:proofErr w:type="spell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ПОГОДЖЕНО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FC5549" w:rsidRPr="00FC5549" w:rsidRDefault="00FC5549" w:rsidP="00FC5549">
            <w:pPr>
              <w:spacing w:before="222" w:after="222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В.о. </w:t>
            </w:r>
            <w:proofErr w:type="spell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івної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spacing w:before="222" w:after="222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5549" w:rsidRPr="00FC5549" w:rsidRDefault="00FC5549" w:rsidP="00FC5549">
            <w:pPr>
              <w:spacing w:before="222" w:after="222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В.М. </w:t>
            </w:r>
            <w:proofErr w:type="spellStart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Воронін</w:t>
            </w:r>
            <w:proofErr w:type="spellEnd"/>
          </w:p>
        </w:tc>
      </w:tr>
    </w:tbl>
    <w:p w:rsidR="00FC5549" w:rsidRPr="00FC5549" w:rsidRDefault="00FC5549" w:rsidP="00FC5549">
      <w:pPr>
        <w:spacing w:before="89" w:after="89"/>
        <w:rPr>
          <w:rFonts w:eastAsia="Times New Roman" w:cs="Times New Roman"/>
          <w:sz w:val="24"/>
          <w:szCs w:val="24"/>
          <w:lang w:eastAsia="ru-RU"/>
        </w:rPr>
      </w:pPr>
      <w:bookmarkStart w:id="13" w:name="n65"/>
      <w:bookmarkEnd w:id="13"/>
      <w:r w:rsidRPr="00FC5549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FC5549" w:rsidRPr="00FC5549" w:rsidRDefault="00FC5549" w:rsidP="00FC554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14" w:name="n64"/>
      <w:bookmarkEnd w:id="14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4311"/>
      </w:tblGrid>
      <w:tr w:rsidR="00FC5549" w:rsidRPr="00FC5549" w:rsidTr="00FC554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" w:name="n13"/>
            <w:bookmarkEnd w:id="15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10.02.2012  № 232/5</w:t>
            </w:r>
          </w:p>
        </w:tc>
      </w:tr>
      <w:tr w:rsidR="00FC5549" w:rsidRPr="00FC5549" w:rsidTr="00FC554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6" w:name="n14"/>
            <w:bookmarkEnd w:id="16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лютого</w:t>
            </w:r>
            <w:proofErr w:type="gram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2012 р.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202/20515</w:t>
            </w:r>
          </w:p>
        </w:tc>
      </w:tr>
    </w:tbl>
    <w:p w:rsidR="00FC5549" w:rsidRPr="00FC5549" w:rsidRDefault="00FC5549" w:rsidP="00FC5549">
      <w:pPr>
        <w:shd w:val="clear" w:color="auto" w:fill="FFFFFF"/>
        <w:ind w:left="665" w:right="665"/>
        <w:jc w:val="center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17" w:name="n15"/>
      <w:bookmarkEnd w:id="17"/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ТИПОВЕ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ПОЛОЖЕННЯ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br/>
      </w:r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proofErr w:type="gram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арх</w:t>
      </w:r>
      <w:proofErr w:type="gram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івний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підрозділ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державного органу, органу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місцевого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самоврядування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, державного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і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комунального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підприємства</w:t>
      </w:r>
      <w:proofErr w:type="spellEnd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, установи та </w:t>
      </w:r>
      <w:proofErr w:type="spellStart"/>
      <w:r w:rsidRPr="00FC5549">
        <w:rPr>
          <w:rFonts w:eastAsia="Times New Roman" w:cs="Times New Roman"/>
          <w:b/>
          <w:bCs/>
          <w:color w:val="000000"/>
          <w:sz w:val="32"/>
          <w:lang w:eastAsia="ru-RU"/>
        </w:rPr>
        <w:t>організації</w:t>
      </w:r>
      <w:proofErr w:type="spellEnd"/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18" w:name="n16"/>
      <w:bookmarkEnd w:id="18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1.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Згідно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fldChar w:fldCharType="begin"/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instrText xml:space="preserve"> HYPERLINK "http://zakon3.rada.gov.ua/laws/show/3814-12" \t "_blank" </w:instrTex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fldChar w:fldCharType="separate"/>
      </w:r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 Законом </w:t>
      </w:r>
      <w:proofErr w:type="spellStart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«Про </w:t>
      </w:r>
      <w:proofErr w:type="spellStart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Національний</w:t>
      </w:r>
      <w:proofErr w:type="spellEnd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івний</w:t>
      </w:r>
      <w:proofErr w:type="spellEnd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фонд та </w:t>
      </w:r>
      <w:proofErr w:type="spellStart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архівні</w:t>
      </w:r>
      <w:proofErr w:type="spellEnd"/>
      <w:r w:rsidRPr="00FC554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установи»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fldChar w:fldCharType="end"/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місцевого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самоврядування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комунальні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підприємства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установи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далі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-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створюють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підрозділи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далі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-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тимчасового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нагромадилися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час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їх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діяльності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використання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відомостей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містяться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документах,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службових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виробничих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наукових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інших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цілей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також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захисту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прав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законних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інтересів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громадян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19" w:name="n69"/>
      <w:bookmarkEnd w:id="19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{Пункт 1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16" w:anchor="n6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400/5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07.03.2013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0" w:name="n17"/>
      <w:bookmarkEnd w:id="20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2.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самостійним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підрозділом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1" w:name="n75"/>
      <w:bookmarkEnd w:id="21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{Пункт 2 в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редакції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 Наказу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17" w:anchor="n7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309/5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03.02.2016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2" w:name="n19"/>
      <w:bookmarkEnd w:id="22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3.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своїй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діяльності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керується</w:t>
      </w:r>
      <w:proofErr w:type="spellEnd"/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18" w:tgtFrame="_blank" w:history="1"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Конституцією</w:t>
        </w:r>
        <w:proofErr w:type="spellEnd"/>
      </w:hyperlink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законами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указами Президента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постановами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Верховної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Ради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прийнятими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19" w:tgtFrame="_blank" w:history="1"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Конституції</w:t>
        </w:r>
        <w:proofErr w:type="spellEnd"/>
      </w:hyperlink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законів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актами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Кабінету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Міністрів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іншими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нормативно-правовими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актами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положенням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яке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розробляється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підставі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цього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Типового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положення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3" w:name="n20"/>
      <w:bookmarkEnd w:id="23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Положення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джерелом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формування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погоджується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lastRenderedPageBreak/>
        <w:t xml:space="preserve">державною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установою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відділом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міської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ради,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після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затверджується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цієї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4" w:name="n70"/>
      <w:bookmarkEnd w:id="24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{Пункт 3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20" w:anchor="n14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692/5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25.04.2014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5" w:name="n21"/>
      <w:bookmarkEnd w:id="25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4.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працює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річного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плану,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який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затверджує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звітує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перед ним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проведену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роботу.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6" w:name="n22"/>
      <w:bookmarkEnd w:id="26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5. Коло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службових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обов'язків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працівників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визначається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посадовими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інструкціями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які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затверджує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7" w:name="n23"/>
      <w:bookmarkEnd w:id="27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6.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Основними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завданнями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: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8" w:name="n24"/>
      <w:bookmarkEnd w:id="28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приймання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різними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видами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матеріальних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носіїв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інформації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29" w:name="n25"/>
      <w:bookmarkEnd w:id="29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контроль разом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службою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діловодства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станом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правильністю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оформлення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ідрозділах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0" w:name="n26"/>
      <w:bookmarkEnd w:id="30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участь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складанні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погодженні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зведеної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номенклатури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справ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перев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іряння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формування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справи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згідно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затвердженою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номенклатурою;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1" w:name="n27"/>
      <w:bookmarkEnd w:id="31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ведення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державного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обл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іку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щорічне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подання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відомостей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їх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кількість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формою,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встановленою</w:t>
      </w:r>
      <w:proofErr w:type="spellEnd"/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21" w:anchor="n15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Правилами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діловодства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архівного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зберігання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документів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державних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органах, органах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місцевого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самоврядування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на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підприємствах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в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установах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організаціях</w:t>
        </w:r>
        <w:proofErr w:type="spellEnd"/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затвердженими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18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червня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2015 року № 1000/5,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зареєстрованими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Міністерстві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22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червня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2015 року за № 736/27181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далі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- Правила),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івній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установі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архівному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відділу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міської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ради;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2" w:name="n76"/>
      <w:bookmarkEnd w:id="32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п'ятий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пункту 6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 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22" w:anchor="n10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309/5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03.02.2016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3" w:name="n28"/>
      <w:bookmarkEnd w:id="33"/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проведення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попередньої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експертизи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цінності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знаходяться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складання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подання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розгляд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експертної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комісії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проектів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описів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справ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постійного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описів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справ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тривалого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понад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10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описів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справ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кадрових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питань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особового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складу),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актів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вилучення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знищення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не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внесених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актів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вилучення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актів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невиправні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пошкодження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актів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невиправні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пошкодження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тривалого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понад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10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кадрових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питань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особового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складу);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4" w:name="n71"/>
      <w:bookmarkEnd w:id="34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шостий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пункту 6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23" w:anchor="n7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75/5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19.01.2015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; в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редакції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24" w:anchor="n11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309/5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03.02.2016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5" w:name="n29"/>
      <w:bookmarkEnd w:id="35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створення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вдосконалення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довідкового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апарату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6" w:name="n30"/>
      <w:bookmarkEnd w:id="36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lastRenderedPageBreak/>
        <w:t>організація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користування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документами,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надання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довідок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копій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витягів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юридичним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фізичним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особам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</w:t>
      </w:r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25" w:anchor="n15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7" w:name="n31"/>
      <w:bookmarkEnd w:id="37"/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ідготовка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передавання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транспортування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(за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рахунок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установи,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відділу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міської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ради;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8" w:name="n32"/>
      <w:bookmarkEnd w:id="38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участь у заходах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ідвищення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фахової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кваліфікації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працівників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які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відповідають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роботу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документами.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39" w:name="n33"/>
      <w:bookmarkEnd w:id="39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7.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виконання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покладених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завдань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йому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надається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право: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0" w:name="n34"/>
      <w:bookmarkEnd w:id="40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вимагати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передавання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оформлених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згідно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чинним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законодавством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1" w:name="n35"/>
      <w:bookmarkEnd w:id="41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повертати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ідрозділам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доопрацювання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оформлені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порушенням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встановлених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вимог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2" w:name="n36"/>
      <w:bookmarkEnd w:id="42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давати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ідрозділам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рекомендації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питань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входять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компетенції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3" w:name="n37"/>
      <w:bookmarkEnd w:id="43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запитувати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відомості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необхідні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роботи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4" w:name="n38"/>
      <w:bookmarkEnd w:id="44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інформувати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керівництво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про стан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роботи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документами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вносити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пропозиції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щодо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її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поліпшення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5" w:name="n39"/>
      <w:bookmarkEnd w:id="45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брати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участь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засіданнях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дорадчих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нарадах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проводяться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разі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розгляду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них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питань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роботи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документами.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6" w:name="n40"/>
      <w:bookmarkEnd w:id="46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8. На посаду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призначається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особа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повною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вищою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освітою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напряму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підготовки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магістр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спеціаліст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стажем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роботи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фахом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не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менше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двох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7" w:name="n41"/>
      <w:bookmarkEnd w:id="47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призначається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посаду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звільняється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посади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цієї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8" w:name="n42"/>
      <w:bookmarkEnd w:id="48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Порядок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взаємодії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іншими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підрозділами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визначається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керівником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49" w:name="n43"/>
      <w:bookmarkEnd w:id="49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Відповідальним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виконання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покладених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завдань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функцій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є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керівник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або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особа,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відповідальна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за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0" w:name="n44"/>
      <w:bookmarkEnd w:id="50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9. До складу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входять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: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1" w:name="n45"/>
      <w:bookmarkEnd w:id="51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паперовою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основою,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внесені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Національного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івного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фонду,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тривалого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понад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10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)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створені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підрозділами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кадрових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питань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(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особового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складу);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2" w:name="n72"/>
      <w:bookmarkEnd w:id="52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другий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пункту 9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26" w:anchor="n7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75/5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19.01.2015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3" w:name="n46"/>
      <w:bookmarkEnd w:id="53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lastRenderedPageBreak/>
        <w:t>науково-технічна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документація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ауд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іовізуальні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електронні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створені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організацією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або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одержані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нею на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законних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підставах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4" w:name="n47"/>
      <w:bookmarkEnd w:id="54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фонди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особового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походження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працівників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які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відіграли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певну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роль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історії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розвитку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тієї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чи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іншої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сфери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життєдіяльності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або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її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окремого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регіону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5" w:name="n48"/>
      <w:bookmarkEnd w:id="55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видами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матеріальних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носіїв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інформації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-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попередників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підпорядкованих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ліквідовані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6" w:name="n49"/>
      <w:bookmarkEnd w:id="56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друковані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видання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що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доповнюють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необхідні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для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науково-методичної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інформаційно-довідкової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роботи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;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7" w:name="n50"/>
      <w:bookmarkEnd w:id="57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довідковий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та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обл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іковий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апарат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8" w:name="n51"/>
      <w:bookmarkEnd w:id="58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р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видами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матеріальних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носіїв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інформації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повинні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зберігатися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окремо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59" w:name="n52"/>
      <w:bookmarkEnd w:id="59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10.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паперовими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носіями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інформації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передаються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в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упорядкованому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стані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із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структурних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ідрозділів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через два роки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після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завершення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їх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ведення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діловодстві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вимог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встановлених</w:t>
      </w:r>
      <w:proofErr w:type="spellEnd"/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27" w:anchor="n15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60" w:name="n53"/>
      <w:bookmarkEnd w:id="60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Науково-технічна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документація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передається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порядку,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встановленому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державними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стандартами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61" w:name="n54"/>
      <w:bookmarkEnd w:id="61"/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Ауд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іовізуальні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передаються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одразу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після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завершення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їх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виробництва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62" w:name="n74"/>
      <w:bookmarkEnd w:id="62"/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Електронні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документи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передаються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proofErr w:type="gram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арх</w:t>
      </w:r>
      <w:proofErr w:type="gram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іву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організації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відповідно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до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вимог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встановлених</w:t>
      </w:r>
      <w:proofErr w:type="spellEnd"/>
      <w:r w:rsidRPr="00FC5549">
        <w:rPr>
          <w:rFonts w:eastAsia="Times New Roman" w:cs="Times New Roman"/>
          <w:color w:val="000000"/>
          <w:sz w:val="35"/>
          <w:lang w:eastAsia="ru-RU"/>
        </w:rPr>
        <w:t> </w:t>
      </w:r>
      <w:hyperlink r:id="rId28" w:anchor="n24" w:tgtFrame="_blank" w:history="1"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Порядком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роботи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електронними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документами у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діловодстві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їх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підготовки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передавання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архівне</w:t>
        </w:r>
        <w:proofErr w:type="spellEnd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C554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зберігання</w:t>
        </w:r>
        <w:proofErr w:type="spellEnd"/>
      </w:hyperlink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затвердженим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від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11 листопада 2014 року № 1886/5,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зареєстрованим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у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Міністерстві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>України</w:t>
      </w:r>
      <w:proofErr w:type="spellEnd"/>
      <w:r w:rsidRPr="00FC5549">
        <w:rPr>
          <w:rFonts w:eastAsia="Times New Roman" w:cs="Times New Roman"/>
          <w:color w:val="000000"/>
          <w:sz w:val="35"/>
          <w:szCs w:val="35"/>
          <w:lang w:eastAsia="ru-RU"/>
        </w:rPr>
        <w:t xml:space="preserve"> 11 листопада 2014 року за № 1421/26198.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63" w:name="n73"/>
      <w:bookmarkEnd w:id="63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{Пункт 10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доповнено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новим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абзацом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29" w:anchor="n8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75/5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19.01.2015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FC5549" w:rsidRPr="00FC5549" w:rsidRDefault="00FC5549" w:rsidP="00FC5549">
      <w:pPr>
        <w:shd w:val="clear" w:color="auto" w:fill="FFFFFF"/>
        <w:ind w:firstLine="665"/>
        <w:jc w:val="both"/>
        <w:textAlignment w:val="baseline"/>
        <w:rPr>
          <w:rFonts w:eastAsia="Times New Roman" w:cs="Times New Roman"/>
          <w:color w:val="000000"/>
          <w:sz w:val="35"/>
          <w:szCs w:val="35"/>
          <w:lang w:eastAsia="ru-RU"/>
        </w:rPr>
      </w:pPr>
      <w:bookmarkStart w:id="64" w:name="n55"/>
      <w:bookmarkEnd w:id="64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{Пункт 11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юстиції</w:t>
      </w:r>
      <w:proofErr w:type="spellEnd"/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30" w:anchor="n10" w:tgtFrame="_blank" w:history="1"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75/5 </w:t>
        </w:r>
        <w:proofErr w:type="spellStart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C554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19.01.2015</w:t>
        </w:r>
      </w:hyperlink>
      <w:r w:rsidRPr="00FC55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7"/>
        <w:gridCol w:w="6251"/>
      </w:tblGrid>
      <w:tr w:rsidR="00FC5549" w:rsidRPr="00FC5549" w:rsidTr="00FC554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5" w:name="n63"/>
            <w:bookmarkEnd w:id="65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549" w:rsidRPr="00FC5549" w:rsidRDefault="00FC5549" w:rsidP="00FC5549">
            <w:pPr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5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FC5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Зеркаль</w:t>
            </w:r>
            <w:proofErr w:type="spellEnd"/>
          </w:p>
        </w:tc>
      </w:tr>
    </w:tbl>
    <w:p w:rsidR="00891520" w:rsidRDefault="00891520"/>
    <w:sectPr w:rsidR="00891520" w:rsidSect="00A44E7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5549"/>
    <w:rsid w:val="001932AC"/>
    <w:rsid w:val="00267091"/>
    <w:rsid w:val="003A06B6"/>
    <w:rsid w:val="00514A84"/>
    <w:rsid w:val="008176D1"/>
    <w:rsid w:val="00891520"/>
    <w:rsid w:val="00941FB4"/>
    <w:rsid w:val="00A44E70"/>
    <w:rsid w:val="00B74B41"/>
    <w:rsid w:val="00D9438E"/>
    <w:rsid w:val="00F117A0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C5549"/>
  </w:style>
  <w:style w:type="paragraph" w:customStyle="1" w:styleId="rvps4">
    <w:name w:val="rvps4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C5549"/>
  </w:style>
  <w:style w:type="paragraph" w:customStyle="1" w:styleId="rvps7">
    <w:name w:val="rvps7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C5549"/>
  </w:style>
  <w:style w:type="paragraph" w:customStyle="1" w:styleId="rvps14">
    <w:name w:val="rvps14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549"/>
  </w:style>
  <w:style w:type="paragraph" w:customStyle="1" w:styleId="rvps6">
    <w:name w:val="rvps6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549"/>
    <w:rPr>
      <w:color w:val="0000FF"/>
      <w:u w:val="single"/>
    </w:rPr>
  </w:style>
  <w:style w:type="paragraph" w:customStyle="1" w:styleId="rvps2">
    <w:name w:val="rvps2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C5549"/>
  </w:style>
  <w:style w:type="character" w:customStyle="1" w:styleId="rvts52">
    <w:name w:val="rvts52"/>
    <w:basedOn w:val="a0"/>
    <w:rsid w:val="00FC5549"/>
  </w:style>
  <w:style w:type="character" w:customStyle="1" w:styleId="rvts44">
    <w:name w:val="rvts44"/>
    <w:basedOn w:val="a0"/>
    <w:rsid w:val="00FC5549"/>
  </w:style>
  <w:style w:type="paragraph" w:customStyle="1" w:styleId="rvps15">
    <w:name w:val="rvps15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C5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C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073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933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023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418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390-13/paran6" TargetMode="External"/><Relationship Id="rId13" Type="http://schemas.openxmlformats.org/officeDocument/2006/relationships/hyperlink" Target="http://zakon3.rada.gov.ua/laws/show/z0202-12/print1486750961672091" TargetMode="External"/><Relationship Id="rId18" Type="http://schemas.openxmlformats.org/officeDocument/2006/relationships/hyperlink" Target="http://zakon3.rada.gov.ua/laws/show/254%D0%BA/96-%D0%B2%D1%80" TargetMode="External"/><Relationship Id="rId26" Type="http://schemas.openxmlformats.org/officeDocument/2006/relationships/hyperlink" Target="http://zakon3.rada.gov.ua/laws/show/z0076-15/paran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z0736-15/paran15" TargetMode="External"/><Relationship Id="rId7" Type="http://schemas.openxmlformats.org/officeDocument/2006/relationships/hyperlink" Target="http://zakon3.rada.gov.ua/laws/show/z0198-16/paran2" TargetMode="External"/><Relationship Id="rId12" Type="http://schemas.openxmlformats.org/officeDocument/2006/relationships/hyperlink" Target="http://zakon3.rada.gov.ua/laws/show/z0202-12/print1486750961672091" TargetMode="External"/><Relationship Id="rId17" Type="http://schemas.openxmlformats.org/officeDocument/2006/relationships/hyperlink" Target="http://zakon3.rada.gov.ua/laws/show/z0198-16/paran7" TargetMode="External"/><Relationship Id="rId25" Type="http://schemas.openxmlformats.org/officeDocument/2006/relationships/hyperlink" Target="http://zakon3.rada.gov.ua/laws/show/z0736-15/paran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z0390-13/paran6" TargetMode="External"/><Relationship Id="rId20" Type="http://schemas.openxmlformats.org/officeDocument/2006/relationships/hyperlink" Target="http://zakon3.rada.gov.ua/laws/show/z0468-14/paran14" TargetMode="External"/><Relationship Id="rId29" Type="http://schemas.openxmlformats.org/officeDocument/2006/relationships/hyperlink" Target="http://zakon3.rada.gov.ua/laws/show/z0076-15/paran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076-15/paran2" TargetMode="External"/><Relationship Id="rId11" Type="http://schemas.openxmlformats.org/officeDocument/2006/relationships/hyperlink" Target="http://zakon3.rada.gov.ua/laws/show/z0202-12/print1486750961672091" TargetMode="External"/><Relationship Id="rId24" Type="http://schemas.openxmlformats.org/officeDocument/2006/relationships/hyperlink" Target="http://zakon3.rada.gov.ua/laws/show/z0198-16/paran1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3.rada.gov.ua/laws/show/z0468-14/paran14" TargetMode="External"/><Relationship Id="rId15" Type="http://schemas.openxmlformats.org/officeDocument/2006/relationships/hyperlink" Target="http://zakon3.rada.gov.ua/laws/show/z0682-02" TargetMode="External"/><Relationship Id="rId23" Type="http://schemas.openxmlformats.org/officeDocument/2006/relationships/hyperlink" Target="http://zakon3.rada.gov.ua/laws/show/z0076-15/paran7" TargetMode="External"/><Relationship Id="rId28" Type="http://schemas.openxmlformats.org/officeDocument/2006/relationships/hyperlink" Target="http://zakon3.rada.gov.ua/laws/show/z1421-14/paran24" TargetMode="External"/><Relationship Id="rId10" Type="http://schemas.openxmlformats.org/officeDocument/2006/relationships/hyperlink" Target="http://zakon3.rada.gov.ua/laws/show/1004-2007-%D0%BF" TargetMode="External"/><Relationship Id="rId19" Type="http://schemas.openxmlformats.org/officeDocument/2006/relationships/hyperlink" Target="http://zakon3.rada.gov.ua/laws/show/254%D0%BA/96-%D0%B2%D1%8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zakon3.rada.gov.ua/laws/show/z0390-13/paran6" TargetMode="External"/><Relationship Id="rId9" Type="http://schemas.openxmlformats.org/officeDocument/2006/relationships/hyperlink" Target="http://zakon3.rada.gov.ua/laws/show/3814-12" TargetMode="External"/><Relationship Id="rId14" Type="http://schemas.openxmlformats.org/officeDocument/2006/relationships/hyperlink" Target="http://zakon3.rada.gov.ua/laws/show/493/92" TargetMode="External"/><Relationship Id="rId22" Type="http://schemas.openxmlformats.org/officeDocument/2006/relationships/hyperlink" Target="http://zakon3.rada.gov.ua/laws/show/z0198-16/paran10" TargetMode="External"/><Relationship Id="rId27" Type="http://schemas.openxmlformats.org/officeDocument/2006/relationships/hyperlink" Target="http://zakon3.rada.gov.ua/laws/show/z0736-15/paran15" TargetMode="External"/><Relationship Id="rId30" Type="http://schemas.openxmlformats.org/officeDocument/2006/relationships/hyperlink" Target="http://zakon3.rada.gov.ua/laws/show/z0076-15/paran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2017-02-10T18:23:00Z</dcterms:created>
  <dcterms:modified xsi:type="dcterms:W3CDTF">2017-02-10T18:26:00Z</dcterms:modified>
</cp:coreProperties>
</file>